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1200" w:lineRule="exact"/>
        <w:ind w:left="99" w:leftChars="-137" w:right="-370" w:rightChars="-176" w:hanging="387" w:hangingChars="66"/>
        <w:jc w:val="center"/>
        <w:rPr>
          <w:rFonts w:ascii="Calibri" w:hAnsi="Calibri" w:eastAsia="方正小标宋简体"/>
          <w:color w:val="FF0000"/>
          <w:spacing w:val="-10"/>
          <w:w w:val="66"/>
          <w:sz w:val="92"/>
          <w:szCs w:val="92"/>
        </w:rPr>
      </w:pPr>
      <w:r>
        <w:rPr>
          <w:rFonts w:ascii="Calibri" w:hAnsi="Calibri" w:eastAsia="方正小标宋简体"/>
          <w:color w:val="FF0000"/>
          <w:spacing w:val="-10"/>
          <w:w w:val="66"/>
          <w:sz w:val="92"/>
          <w:szCs w:val="92"/>
        </w:rPr>
        <w:t>中共淮阴工学院委员会</w:t>
      </w:r>
      <w:r>
        <w:rPr>
          <w:rFonts w:hint="eastAsia" w:ascii="Calibri" w:hAnsi="Calibri" w:eastAsia="方正小标宋简体"/>
          <w:color w:val="FF0000"/>
          <w:spacing w:val="-10"/>
          <w:w w:val="66"/>
          <w:sz w:val="92"/>
          <w:szCs w:val="92"/>
        </w:rPr>
        <w:t>宣传</w:t>
      </w:r>
      <w:r>
        <w:rPr>
          <w:rFonts w:ascii="Calibri" w:hAnsi="Calibri" w:eastAsia="方正小标宋简体"/>
          <w:color w:val="FF0000"/>
          <w:spacing w:val="-10"/>
          <w:w w:val="66"/>
          <w:sz w:val="92"/>
          <w:szCs w:val="92"/>
        </w:rPr>
        <w:t>部文件</w:t>
      </w:r>
    </w:p>
    <w:tbl>
      <w:tblPr>
        <w:tblStyle w:val="3"/>
        <w:tblW w:w="8832" w:type="dxa"/>
        <w:tblInd w:w="108" w:type="dxa"/>
        <w:tblBorders>
          <w:top w:val="none" w:color="auto" w:sz="0" w:space="0"/>
          <w:left w:val="none" w:color="auto" w:sz="0" w:space="0"/>
          <w:bottom w:val="single" w:color="FF0000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2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832" w:type="dxa"/>
            <w:noWrap w:val="0"/>
            <w:vAlign w:val="top"/>
          </w:tcPr>
          <w:p>
            <w:pPr>
              <w:tabs>
                <w:tab w:val="left" w:pos="8190"/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after="156" w:afterLines="50" w:line="400" w:lineRule="exact"/>
              <w:rPr>
                <w:rFonts w:ascii="Calibri" w:hAnsi="Calibri" w:eastAsia="仿宋_GB2312"/>
                <w:color w:val="FF0000"/>
                <w:spacing w:val="20"/>
                <w:sz w:val="18"/>
                <w:szCs w:val="18"/>
              </w:rPr>
            </w:pPr>
          </w:p>
          <w:p>
            <w:pPr>
              <w:tabs>
                <w:tab w:val="left" w:pos="8190"/>
                <w:tab w:val="left" w:pos="8400"/>
                <w:tab w:val="left" w:pos="8610"/>
                <w:tab w:val="left" w:pos="8820"/>
              </w:tabs>
              <w:spacing w:after="156" w:afterLines="50" w:line="480" w:lineRule="exact"/>
              <w:jc w:val="center"/>
              <w:rPr>
                <w:rFonts w:ascii="Calibri" w:hAnsi="Calibri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20"/>
                <w:sz w:val="32"/>
                <w:szCs w:val="32"/>
              </w:rPr>
              <w:t>淮工院委宣</w:t>
            </w:r>
            <w:r>
              <w:rPr>
                <w:rFonts w:eastAsia="仿宋_GB2312"/>
                <w:spacing w:val="20"/>
                <w:sz w:val="32"/>
                <w:szCs w:val="32"/>
              </w:rPr>
              <w:t>〔20</w:t>
            </w:r>
            <w:r>
              <w:rPr>
                <w:rFonts w:hint="eastAsia" w:eastAsia="仿宋_GB2312"/>
                <w:spacing w:val="20"/>
                <w:sz w:val="32"/>
                <w:szCs w:val="32"/>
              </w:rPr>
              <w:t>20</w:t>
            </w:r>
            <w:r>
              <w:rPr>
                <w:rFonts w:eastAsia="仿宋_GB2312"/>
                <w:spacing w:val="20"/>
                <w:sz w:val="32"/>
                <w:szCs w:val="32"/>
              </w:rPr>
              <w:t>〕</w:t>
            </w:r>
            <w:r>
              <w:rPr>
                <w:rFonts w:hint="eastAsia" w:eastAsia="仿宋_GB2312"/>
                <w:spacing w:val="20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 w:cs="仿宋"/>
                <w:spacing w:val="20"/>
                <w:sz w:val="32"/>
                <w:szCs w:val="32"/>
              </w:rPr>
              <w:t>号</w:t>
            </w:r>
          </w:p>
        </w:tc>
      </w:tr>
    </w:tbl>
    <w:p>
      <w:pPr>
        <w:spacing w:line="600" w:lineRule="exact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微软雅黑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/>
          <w:sz w:val="44"/>
          <w:szCs w:val="44"/>
        </w:rPr>
        <w:t>关于印发《淮阴工学院校外媒体记者劳务费</w:t>
      </w:r>
    </w:p>
    <w:p>
      <w:pPr>
        <w:spacing w:line="600" w:lineRule="exact"/>
        <w:jc w:val="center"/>
        <w:rPr>
          <w:rFonts w:hint="eastAsia"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发放管理办法(暂行)》的通知</w:t>
      </w:r>
    </w:p>
    <w:bookmarkEnd w:id="0"/>
    <w:p>
      <w:pPr>
        <w:rPr>
          <w:rFonts w:ascii="仿宋_GB2312" w:hAnsi="微软雅黑" w:eastAsia="仿宋_GB2312"/>
          <w:sz w:val="32"/>
          <w:szCs w:val="32"/>
        </w:rPr>
      </w:pPr>
    </w:p>
    <w:p>
      <w:pPr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各党（工）委、党总支，各部门、单位：</w:t>
      </w:r>
    </w:p>
    <w:p>
      <w:pPr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《淮阴工学院校外媒体记者劳务费发放管理办法(暂行)》已经2020年第10次党委常委会研究通过，现予印发施行。</w:t>
      </w:r>
    </w:p>
    <w:p>
      <w:pPr>
        <w:rPr>
          <w:rFonts w:ascii="仿宋_GB2312" w:hAnsi="微软雅黑" w:eastAsia="仿宋_GB2312"/>
          <w:sz w:val="32"/>
          <w:szCs w:val="32"/>
        </w:rPr>
      </w:pPr>
    </w:p>
    <w:p>
      <w:pPr>
        <w:rPr>
          <w:rFonts w:ascii="仿宋_GB2312" w:hAnsi="微软雅黑" w:eastAsia="仿宋_GB2312"/>
          <w:sz w:val="32"/>
          <w:szCs w:val="32"/>
        </w:rPr>
      </w:pPr>
    </w:p>
    <w:p>
      <w:pPr>
        <w:ind w:firstLine="4640" w:firstLineChars="145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中共淮阴工学院委员会宣传部</w:t>
      </w:r>
    </w:p>
    <w:p>
      <w:pPr>
        <w:ind w:firstLine="5600" w:firstLineChars="175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2020年4月23日</w:t>
      </w:r>
    </w:p>
    <w:p>
      <w:pPr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hAnsi="微软雅黑" w:eastAsia="仿宋_GB2312"/>
          <w:sz w:val="32"/>
          <w:szCs w:val="32"/>
        </w:rPr>
        <w:t xml:space="preserve"> </w:t>
      </w:r>
    </w:p>
    <w:p>
      <w:pPr>
        <w:rPr>
          <w:rFonts w:hint="eastAsia" w:ascii="仿宋_GB2312" w:hAnsi="微软雅黑" w:eastAsia="仿宋_GB2312"/>
          <w:sz w:val="32"/>
          <w:szCs w:val="32"/>
        </w:rPr>
      </w:pPr>
    </w:p>
    <w:p>
      <w:pPr>
        <w:rPr>
          <w:rFonts w:hint="eastAsia" w:ascii="仿宋_GB2312" w:hAnsi="微软雅黑" w:eastAsia="仿宋_GB2312"/>
          <w:sz w:val="32"/>
          <w:szCs w:val="32"/>
        </w:rPr>
      </w:pPr>
    </w:p>
    <w:p>
      <w:pPr>
        <w:rPr>
          <w:rFonts w:hint="eastAsia" w:ascii="仿宋_GB2312" w:hAnsi="微软雅黑" w:eastAsia="仿宋_GB2312"/>
          <w:sz w:val="32"/>
          <w:szCs w:val="32"/>
        </w:rPr>
      </w:pPr>
    </w:p>
    <w:p>
      <w:pPr>
        <w:rPr>
          <w:rFonts w:hint="eastAsia" w:ascii="仿宋_GB2312" w:hAnsi="微软雅黑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淮阴工学院校外媒体记者劳务费</w:t>
      </w:r>
    </w:p>
    <w:p>
      <w:pPr>
        <w:spacing w:line="600" w:lineRule="exact"/>
        <w:jc w:val="center"/>
        <w:rPr>
          <w:rFonts w:ascii="方正小标宋简体" w:eastAsia="方正小标宋简体"/>
          <w:color w:val="0000FF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发放管理办法(暂行)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为加强学校校外媒体记者劳务费发放管理，规范发放标准和程序，确保新闻宣传经费合理、合法和规范使用，根据《淮阴工学院校外工作人员劳务费发放管理暂行办法》(淮工院〔2018〕161号)，特制定本办法。</w:t>
      </w:r>
    </w:p>
    <w:p>
      <w:pPr>
        <w:spacing w:line="600" w:lineRule="exact"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一、劳务费发放范围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本办法所指的劳务费是指因工作需要，邀请校外媒体记者来校采访所需支付给被邀请记者的劳务酬金。</w:t>
      </w:r>
    </w:p>
    <w:p>
      <w:pPr>
        <w:spacing w:line="600" w:lineRule="exact"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二、劳务费发放标准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1.专家型记者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国家级：3000元/半天；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省部级：2000元/半天；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市厅级：1000元/半天。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2.一线记者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国家级：1000元/半天；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省部级：600元/半天；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市厅级：400元/半天。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3.淮安主城区内专家型记者、一线记者的劳务费按照减半发放的原则分别为500元/半天、200元/半天。</w:t>
      </w:r>
    </w:p>
    <w:p>
      <w:pPr>
        <w:spacing w:line="600" w:lineRule="exact"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三、相关规定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需要报销有关校外媒体记者差旅费的</w:t>
      </w:r>
      <w:r>
        <w:rPr>
          <w:rFonts w:hint="eastAsia" w:ascii="仿宋_GB2312" w:eastAsia="仿宋_GB2312"/>
          <w:color w:val="000000"/>
          <w:sz w:val="32"/>
          <w:szCs w:val="32"/>
        </w:rPr>
        <w:t>，根据学校差旅费相关规定执行。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2.劳务费发放应严格执行学校相关规定，凡是上级文件或学校规定中不允许列支劳务费的项目，不得发放劳务费。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3.本办法规定的各项劳务费与国家、地方政府及相关行业规定的标准不一致的，按相关规定标准执行。</w:t>
      </w:r>
    </w:p>
    <w:p>
      <w:pPr>
        <w:spacing w:line="600" w:lineRule="exact"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四、本办法自发文之日起执行，由党委宣传部负责解释。</w:t>
      </w:r>
    </w:p>
    <w:p>
      <w:pPr>
        <w:spacing w:line="600" w:lineRule="exact"/>
      </w:pPr>
    </w:p>
    <w:p>
      <w:pPr>
        <w:ind w:firstLine="560" w:firstLineChars="200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微软雅黑" w:hAnsi="微软雅黑" w:eastAsia="微软雅黑"/>
          <w:color w:val="000000"/>
          <w:sz w:val="28"/>
          <w:szCs w:val="28"/>
        </w:rPr>
      </w:pPr>
    </w:p>
    <w:tbl>
      <w:tblPr>
        <w:tblStyle w:val="3"/>
        <w:tblpPr w:leftFromText="180" w:rightFromText="180" w:vertAnchor="text" w:horzAnchor="page" w:tblpX="1757" w:tblpY="6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8292"/>
              </w:tabs>
              <w:spacing w:line="520" w:lineRule="exact"/>
              <w:ind w:right="312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中共淮阴工学院委员会</w:t>
            </w:r>
            <w:r>
              <w:rPr>
                <w:rFonts w:hint="eastAsia" w:eastAsia="仿宋"/>
                <w:sz w:val="28"/>
                <w:szCs w:val="28"/>
              </w:rPr>
              <w:t>宣传</w:t>
            </w:r>
            <w:r>
              <w:rPr>
                <w:rFonts w:eastAsia="仿宋"/>
                <w:sz w:val="28"/>
                <w:szCs w:val="28"/>
              </w:rPr>
              <w:t>部             20</w:t>
            </w:r>
            <w:r>
              <w:rPr>
                <w:rFonts w:hint="eastAsia" w:eastAsia="仿宋"/>
                <w:sz w:val="28"/>
                <w:szCs w:val="28"/>
              </w:rPr>
              <w:t>20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hint="eastAsia" w:eastAsia="仿宋"/>
                <w:sz w:val="28"/>
                <w:szCs w:val="28"/>
              </w:rPr>
              <w:t>4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hint="eastAsia" w:eastAsia="仿宋"/>
                <w:sz w:val="28"/>
                <w:szCs w:val="28"/>
              </w:rPr>
              <w:t>23</w:t>
            </w:r>
            <w:r>
              <w:rPr>
                <w:rFonts w:eastAsia="仿宋"/>
                <w:sz w:val="28"/>
                <w:szCs w:val="28"/>
              </w:rPr>
              <w:t>日印发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07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8260" w:firstLineChars="2950"/>
      <w:jc w:val="both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A06D8"/>
    <w:rsid w:val="045A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2020-05-27T02:43:00Z</dcterms:created>
  <dc:creator>蓝之梦</dc:creator>
  <cp:lastModifiedBy>蓝之梦</cp:lastModifiedBy>
  <dcterms:modified xsi:type="dcterms:W3CDTF">2020-05-27T02:43:27Z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